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B8318">
      <w:pPr>
        <w:jc w:val="both"/>
        <w:rPr>
          <w:rFonts w:hint="default" w:ascii="Times New Roman" w:hAnsi="Times New Roman" w:eastAsia="宋体" w:cs="Times New Roman"/>
          <w:b/>
          <w:bCs/>
          <w:i w:val="0"/>
          <w:iCs w:val="0"/>
          <w:caps w:val="0"/>
          <w:color w:val="333333"/>
          <w:spacing w:val="0"/>
          <w:sz w:val="20"/>
          <w:szCs w:val="20"/>
          <w:shd w:val="clear" w:fill="FFFFFF"/>
          <w:lang w:val="en-US" w:eastAsia="zh-CN"/>
        </w:rPr>
      </w:pPr>
      <w:bookmarkStart w:id="0" w:name="_GoBack"/>
      <w:bookmarkEnd w:id="0"/>
      <w:r>
        <w:rPr>
          <w:rFonts w:hint="default" w:ascii="Times New Roman" w:hAnsi="Times New Roman" w:eastAsia="宋体" w:cs="Times New Roman"/>
          <w:b/>
          <w:bCs/>
          <w:i w:val="0"/>
          <w:iCs w:val="0"/>
          <w:caps w:val="0"/>
          <w:color w:val="333333"/>
          <w:spacing w:val="0"/>
          <w:sz w:val="20"/>
          <w:szCs w:val="20"/>
          <w:shd w:val="clear" w:fill="FFFFFF"/>
          <w:lang w:val="en-US" w:eastAsia="zh-CN"/>
        </w:rPr>
        <w:t>附件1</w:t>
      </w:r>
    </w:p>
    <w:p w14:paraId="72614691">
      <w:pPr>
        <w:jc w:val="center"/>
        <w:rPr>
          <w:rFonts w:hint="eastAsia" w:ascii="sans-serif" w:hAnsi="sans-serif" w:cs="sans-serif"/>
          <w:b/>
          <w:bCs/>
          <w:i w:val="0"/>
          <w:iCs w:val="0"/>
          <w:caps w:val="0"/>
          <w:color w:val="333333"/>
          <w:spacing w:val="0"/>
          <w:sz w:val="20"/>
          <w:szCs w:val="20"/>
          <w:shd w:val="clear" w:fill="FFFFFF"/>
          <w:lang w:val="en-US" w:eastAsia="zh-CN"/>
        </w:rPr>
      </w:pPr>
      <w:r>
        <w:rPr>
          <w:rFonts w:hint="default" w:ascii="sans-serif" w:hAnsi="sans-serif" w:eastAsia="sans-serif" w:cs="sans-serif"/>
          <w:b/>
          <w:bCs/>
          <w:i w:val="0"/>
          <w:iCs w:val="0"/>
          <w:caps w:val="0"/>
          <w:color w:val="333333"/>
          <w:spacing w:val="0"/>
          <w:sz w:val="20"/>
          <w:szCs w:val="20"/>
          <w:shd w:val="clear" w:fill="FFFFFF"/>
        </w:rPr>
        <w:t>中国药科大学“创新中药”赛道暨附属</w:t>
      </w:r>
      <w:r>
        <w:rPr>
          <w:rFonts w:hint="eastAsia" w:ascii="sans-serif" w:hAnsi="sans-serif" w:cs="sans-serif"/>
          <w:b/>
          <w:bCs/>
          <w:i w:val="0"/>
          <w:iCs w:val="0"/>
          <w:caps w:val="0"/>
          <w:color w:val="333333"/>
          <w:spacing w:val="0"/>
          <w:sz w:val="20"/>
          <w:szCs w:val="20"/>
          <w:shd w:val="clear" w:fill="FFFFFF"/>
          <w:lang w:val="en-US" w:eastAsia="zh-CN"/>
        </w:rPr>
        <w:t>江宁</w:t>
      </w:r>
      <w:r>
        <w:rPr>
          <w:rFonts w:hint="default" w:ascii="sans-serif" w:hAnsi="sans-serif" w:eastAsia="sans-serif" w:cs="sans-serif"/>
          <w:b/>
          <w:bCs/>
          <w:i w:val="0"/>
          <w:iCs w:val="0"/>
          <w:caps w:val="0"/>
          <w:color w:val="333333"/>
          <w:spacing w:val="0"/>
          <w:sz w:val="20"/>
          <w:szCs w:val="20"/>
          <w:shd w:val="clear" w:fill="FFFFFF"/>
        </w:rPr>
        <w:t>中医院</w:t>
      </w:r>
      <w:r>
        <w:rPr>
          <w:rFonts w:hint="eastAsia" w:ascii="sans-serif" w:hAnsi="sans-serif" w:cs="sans-serif"/>
          <w:b/>
          <w:bCs/>
          <w:i w:val="0"/>
          <w:iCs w:val="0"/>
          <w:caps w:val="0"/>
          <w:color w:val="333333"/>
          <w:spacing w:val="0"/>
          <w:sz w:val="20"/>
          <w:szCs w:val="20"/>
          <w:shd w:val="clear" w:fill="FFFFFF"/>
          <w:lang w:val="en-US" w:eastAsia="zh-CN"/>
        </w:rPr>
        <w:t>“有组织科研”联合攻关项目</w:t>
      </w:r>
    </w:p>
    <w:p w14:paraId="654F7BCC">
      <w:pPr>
        <w:rPr>
          <w:rFonts w:hint="eastAsia" w:ascii="sans-serif" w:hAnsi="sans-serif" w:cs="sans-serif"/>
          <w:b/>
          <w:bCs/>
          <w:i w:val="0"/>
          <w:iCs w:val="0"/>
          <w:caps w:val="0"/>
          <w:color w:val="333333"/>
          <w:spacing w:val="0"/>
          <w:sz w:val="20"/>
          <w:szCs w:val="20"/>
          <w:shd w:val="clear" w:fill="FFFFFF"/>
          <w:lang w:val="en-US" w:eastAsia="zh-CN"/>
        </w:rPr>
      </w:pPr>
      <w:r>
        <w:rPr>
          <w:rFonts w:hint="eastAsia" w:ascii="sans-serif" w:hAnsi="sans-serif" w:cs="sans-serif"/>
          <w:b/>
          <w:bCs/>
          <w:i w:val="0"/>
          <w:iCs w:val="0"/>
          <w:caps w:val="0"/>
          <w:color w:val="333333"/>
          <w:spacing w:val="0"/>
          <w:sz w:val="20"/>
          <w:szCs w:val="20"/>
          <w:shd w:val="clear" w:fill="FFFFFF"/>
          <w:lang w:val="en-US" w:eastAsia="zh-CN"/>
        </w:rPr>
        <w:t>一、重点支持项目</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1815"/>
      </w:tblGrid>
      <w:tr w14:paraId="5B2E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2F11470D">
            <w:pPr>
              <w:jc w:val="center"/>
              <w:rPr>
                <w:rFonts w:hint="default" w:ascii="sans-serif" w:hAnsi="sans-serif" w:cs="sans-serif"/>
                <w:b/>
                <w:bCs/>
                <w:i w:val="0"/>
                <w:iCs w:val="0"/>
                <w:caps w:val="0"/>
                <w:color w:val="333333"/>
                <w:spacing w:val="0"/>
                <w:sz w:val="20"/>
                <w:szCs w:val="20"/>
                <w:shd w:val="clear" w:fill="FFFFFF"/>
                <w:vertAlign w:val="baseline"/>
                <w:lang w:val="en-US" w:eastAsia="zh-CN"/>
              </w:rPr>
            </w:pPr>
            <w:r>
              <w:rPr>
                <w:rFonts w:hint="eastAsia" w:ascii="sans-serif" w:hAnsi="sans-serif" w:cs="sans-serif"/>
                <w:b/>
                <w:bCs/>
                <w:i w:val="0"/>
                <w:iCs w:val="0"/>
                <w:caps w:val="0"/>
                <w:color w:val="333333"/>
                <w:spacing w:val="0"/>
                <w:sz w:val="20"/>
                <w:szCs w:val="20"/>
                <w:shd w:val="clear" w:fill="FFFFFF"/>
                <w:vertAlign w:val="baseline"/>
                <w:lang w:val="en-US" w:eastAsia="zh-CN"/>
              </w:rPr>
              <w:t>序号</w:t>
            </w:r>
          </w:p>
        </w:tc>
        <w:tc>
          <w:tcPr>
            <w:tcW w:w="11815" w:type="dxa"/>
            <w:vAlign w:val="center"/>
          </w:tcPr>
          <w:p w14:paraId="4FF5B9DC">
            <w:pPr>
              <w:jc w:val="center"/>
              <w:rPr>
                <w:rFonts w:hint="default" w:ascii="sans-serif" w:hAnsi="sans-serif" w:cs="sans-serif"/>
                <w:b/>
                <w:bCs/>
                <w:i w:val="0"/>
                <w:iCs w:val="0"/>
                <w:caps w:val="0"/>
                <w:color w:val="333333"/>
                <w:spacing w:val="0"/>
                <w:sz w:val="20"/>
                <w:szCs w:val="20"/>
                <w:shd w:val="clear" w:fill="FFFFFF"/>
                <w:vertAlign w:val="baseline"/>
                <w:lang w:val="en-US" w:eastAsia="zh-CN"/>
              </w:rPr>
            </w:pPr>
            <w:r>
              <w:rPr>
                <w:rFonts w:hint="eastAsia" w:ascii="sans-serif" w:hAnsi="sans-serif" w:cs="sans-serif"/>
                <w:b/>
                <w:bCs/>
                <w:i w:val="0"/>
                <w:iCs w:val="0"/>
                <w:caps w:val="0"/>
                <w:color w:val="333333"/>
                <w:spacing w:val="0"/>
                <w:sz w:val="20"/>
                <w:szCs w:val="20"/>
                <w:shd w:val="clear" w:fill="FFFFFF"/>
                <w:vertAlign w:val="baseline"/>
                <w:lang w:val="en-US" w:eastAsia="zh-CN"/>
              </w:rPr>
              <w:t>主要内容</w:t>
            </w:r>
          </w:p>
        </w:tc>
      </w:tr>
      <w:tr w14:paraId="6058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0" w:type="dxa"/>
            <w:vAlign w:val="center"/>
          </w:tcPr>
          <w:p w14:paraId="2CDF260F">
            <w:pPr>
              <w:jc w:val="center"/>
              <w:rPr>
                <w:rFonts w:hint="default" w:ascii="Times New Roman" w:hAnsi="Times New Roman" w:cs="Times New Roman"/>
                <w:i w:val="0"/>
                <w:iCs w:val="0"/>
                <w:caps w:val="0"/>
                <w:color w:val="333333"/>
                <w:spacing w:val="0"/>
                <w:sz w:val="20"/>
                <w:szCs w:val="20"/>
                <w:shd w:val="clear" w:fill="FFFFFF"/>
                <w:vertAlign w:val="baseline"/>
                <w:lang w:val="en-US" w:eastAsia="zh-CN"/>
              </w:rPr>
            </w:pPr>
            <w:r>
              <w:rPr>
                <w:rFonts w:hint="default" w:ascii="Times New Roman" w:hAnsi="Times New Roman" w:cs="Times New Roman"/>
                <w:i w:val="0"/>
                <w:iCs w:val="0"/>
                <w:caps w:val="0"/>
                <w:color w:val="333333"/>
                <w:spacing w:val="0"/>
                <w:sz w:val="20"/>
                <w:szCs w:val="20"/>
                <w:shd w:val="clear" w:fill="FFFFFF"/>
                <w:vertAlign w:val="baseline"/>
                <w:lang w:val="en-US" w:eastAsia="zh-CN"/>
              </w:rPr>
              <w:t>1</w:t>
            </w:r>
          </w:p>
        </w:tc>
        <w:tc>
          <w:tcPr>
            <w:tcW w:w="11815" w:type="dxa"/>
            <w:vAlign w:val="center"/>
          </w:tcPr>
          <w:p w14:paraId="213D467C">
            <w:pPr>
              <w:jc w:val="left"/>
              <w:rPr>
                <w:rFonts w:hint="default" w:ascii="sans-serif" w:hAnsi="sans-serif" w:cs="sans-serif"/>
                <w:i w:val="0"/>
                <w:iCs w:val="0"/>
                <w:caps w:val="0"/>
                <w:color w:val="333333"/>
                <w:spacing w:val="0"/>
                <w:sz w:val="20"/>
                <w:szCs w:val="20"/>
                <w:shd w:val="clear" w:fill="FFFFFF"/>
                <w:vertAlign w:val="baseline"/>
                <w:lang w:val="en-US" w:eastAsia="zh-CN"/>
              </w:rPr>
            </w:pPr>
            <w:r>
              <w:rPr>
                <w:rFonts w:hint="eastAsia" w:ascii="Times New Roman" w:hAnsi="Times New Roman" w:eastAsia="仿宋" w:cs="Times New Roman"/>
                <w:b w:val="0"/>
                <w:bCs w:val="0"/>
                <w:sz w:val="21"/>
                <w:szCs w:val="21"/>
                <w:vertAlign w:val="baseline"/>
                <w:lang w:val="en-US" w:eastAsia="zh-CN"/>
              </w:rPr>
              <w:t>基于TFRCNCOA4介导的铁自噬探讨玄丹散结汤调控铁死亡抑制子宫腺肌病的机制研究</w:t>
            </w:r>
          </w:p>
        </w:tc>
      </w:tr>
      <w:tr w14:paraId="71FB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204E02A4">
            <w:pPr>
              <w:jc w:val="center"/>
              <w:rPr>
                <w:rFonts w:hint="default" w:ascii="Times New Roman" w:hAnsi="Times New Roman" w:cs="Times New Roman"/>
                <w:i w:val="0"/>
                <w:iCs w:val="0"/>
                <w:caps w:val="0"/>
                <w:color w:val="333333"/>
                <w:spacing w:val="0"/>
                <w:sz w:val="20"/>
                <w:szCs w:val="20"/>
                <w:shd w:val="clear" w:fill="FFFFFF"/>
                <w:vertAlign w:val="baseline"/>
                <w:lang w:val="en-US" w:eastAsia="zh-CN"/>
              </w:rPr>
            </w:pPr>
            <w:r>
              <w:rPr>
                <w:rFonts w:hint="default" w:ascii="Times New Roman" w:hAnsi="Times New Roman" w:cs="Times New Roman"/>
                <w:i w:val="0"/>
                <w:iCs w:val="0"/>
                <w:caps w:val="0"/>
                <w:color w:val="333333"/>
                <w:spacing w:val="0"/>
                <w:sz w:val="20"/>
                <w:szCs w:val="20"/>
                <w:shd w:val="clear" w:fill="FFFFFF"/>
                <w:vertAlign w:val="baseline"/>
                <w:lang w:val="en-US" w:eastAsia="zh-CN"/>
              </w:rPr>
              <w:t>2</w:t>
            </w:r>
          </w:p>
        </w:tc>
        <w:tc>
          <w:tcPr>
            <w:tcW w:w="11815" w:type="dxa"/>
            <w:vAlign w:val="center"/>
          </w:tcPr>
          <w:p w14:paraId="1C7BF2E5">
            <w:pPr>
              <w:jc w:val="left"/>
              <w:rPr>
                <w:rFonts w:hint="default" w:ascii="sans-serif" w:hAnsi="sans-serif" w:cs="sans-serif"/>
                <w:i w:val="0"/>
                <w:iCs w:val="0"/>
                <w:caps w:val="0"/>
                <w:color w:val="333333"/>
                <w:spacing w:val="0"/>
                <w:sz w:val="20"/>
                <w:szCs w:val="20"/>
                <w:shd w:val="clear" w:fill="FFFFFF"/>
                <w:vertAlign w:val="baseline"/>
                <w:lang w:val="en-US" w:eastAsia="zh-CN"/>
              </w:rPr>
            </w:pPr>
            <w:r>
              <w:rPr>
                <w:rFonts w:hint="eastAsia" w:ascii="Times New Roman" w:hAnsi="Times New Roman" w:eastAsia="仿宋" w:cs="Times New Roman"/>
                <w:b w:val="0"/>
                <w:bCs w:val="0"/>
                <w:sz w:val="21"/>
                <w:szCs w:val="21"/>
                <w:vertAlign w:val="baseline"/>
                <w:lang w:val="en-US" w:eastAsia="zh-CN"/>
              </w:rPr>
              <w:t>基于PI3K/AKT/mTOR通路对当归四逆汤调控细胞线粒体防治OIPN的机制研究</w:t>
            </w:r>
          </w:p>
        </w:tc>
      </w:tr>
      <w:tr w14:paraId="60C9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737471C2">
            <w:pPr>
              <w:jc w:val="center"/>
              <w:rPr>
                <w:rFonts w:hint="default" w:ascii="Times New Roman" w:hAnsi="Times New Roman" w:cs="Times New Roman"/>
                <w:i w:val="0"/>
                <w:iCs w:val="0"/>
                <w:caps w:val="0"/>
                <w:color w:val="333333"/>
                <w:spacing w:val="0"/>
                <w:sz w:val="20"/>
                <w:szCs w:val="20"/>
                <w:shd w:val="clear" w:fill="FFFFFF"/>
                <w:vertAlign w:val="baseline"/>
                <w:lang w:val="en-US" w:eastAsia="zh-CN"/>
              </w:rPr>
            </w:pPr>
            <w:r>
              <w:rPr>
                <w:rFonts w:hint="default" w:ascii="Times New Roman" w:hAnsi="Times New Roman" w:cs="Times New Roman"/>
                <w:i w:val="0"/>
                <w:iCs w:val="0"/>
                <w:caps w:val="0"/>
                <w:color w:val="333333"/>
                <w:spacing w:val="0"/>
                <w:sz w:val="20"/>
                <w:szCs w:val="20"/>
                <w:shd w:val="clear" w:fill="FFFFFF"/>
                <w:vertAlign w:val="baseline"/>
                <w:lang w:val="en-US" w:eastAsia="zh-CN"/>
              </w:rPr>
              <w:t>3</w:t>
            </w:r>
          </w:p>
        </w:tc>
        <w:tc>
          <w:tcPr>
            <w:tcW w:w="11815" w:type="dxa"/>
            <w:vAlign w:val="center"/>
          </w:tcPr>
          <w:p w14:paraId="76DD2233">
            <w:pPr>
              <w:jc w:val="left"/>
              <w:rPr>
                <w:rFonts w:hint="default" w:ascii="sans-serif" w:hAnsi="sans-serif" w:cs="sans-serif"/>
                <w:i w:val="0"/>
                <w:iCs w:val="0"/>
                <w:caps w:val="0"/>
                <w:color w:val="333333"/>
                <w:spacing w:val="0"/>
                <w:sz w:val="20"/>
                <w:szCs w:val="20"/>
                <w:shd w:val="clear" w:fill="FFFFFF"/>
                <w:vertAlign w:val="baseline"/>
                <w:lang w:val="en-US" w:eastAsia="zh-CN"/>
              </w:rPr>
            </w:pPr>
            <w:r>
              <w:rPr>
                <w:rFonts w:hint="eastAsia" w:ascii="Times New Roman" w:hAnsi="Times New Roman" w:eastAsia="仿宋" w:cs="Times New Roman"/>
                <w:b w:val="0"/>
                <w:bCs w:val="0"/>
                <w:sz w:val="21"/>
                <w:szCs w:val="21"/>
                <w:vertAlign w:val="baseline"/>
                <w:lang w:val="en-US" w:eastAsia="zh-CN"/>
              </w:rPr>
              <w:t>基于阴阳平衡理论及线粒体能量代谢探讨四逆散治疗大学生肝郁气滞型轻中度抑郁症的临床疗效及机制</w:t>
            </w:r>
          </w:p>
        </w:tc>
      </w:tr>
      <w:tr w14:paraId="6170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528168E0">
            <w:pPr>
              <w:jc w:val="center"/>
              <w:rPr>
                <w:rFonts w:hint="default" w:ascii="Times New Roman" w:hAnsi="Times New Roman" w:cs="Times New Roman"/>
                <w:i w:val="0"/>
                <w:iCs w:val="0"/>
                <w:caps w:val="0"/>
                <w:color w:val="333333"/>
                <w:spacing w:val="0"/>
                <w:sz w:val="20"/>
                <w:szCs w:val="20"/>
                <w:shd w:val="clear" w:fill="FFFFFF"/>
                <w:vertAlign w:val="baseline"/>
                <w:lang w:val="en-US" w:eastAsia="zh-CN"/>
              </w:rPr>
            </w:pPr>
            <w:r>
              <w:rPr>
                <w:rFonts w:hint="default" w:ascii="Times New Roman" w:hAnsi="Times New Roman" w:cs="Times New Roman"/>
                <w:i w:val="0"/>
                <w:iCs w:val="0"/>
                <w:caps w:val="0"/>
                <w:color w:val="333333"/>
                <w:spacing w:val="0"/>
                <w:sz w:val="20"/>
                <w:szCs w:val="20"/>
                <w:shd w:val="clear" w:fill="FFFFFF"/>
                <w:vertAlign w:val="baseline"/>
                <w:lang w:val="en-US" w:eastAsia="zh-CN"/>
              </w:rPr>
              <w:t>4</w:t>
            </w:r>
          </w:p>
        </w:tc>
        <w:tc>
          <w:tcPr>
            <w:tcW w:w="11815" w:type="dxa"/>
            <w:vAlign w:val="center"/>
          </w:tcPr>
          <w:p w14:paraId="0F0219D5">
            <w:pPr>
              <w:jc w:val="left"/>
              <w:rPr>
                <w:rFonts w:hint="default" w:ascii="sans-serif" w:hAnsi="sans-serif" w:cs="sans-serif"/>
                <w:i w:val="0"/>
                <w:iCs w:val="0"/>
                <w:caps w:val="0"/>
                <w:color w:val="333333"/>
                <w:spacing w:val="0"/>
                <w:sz w:val="20"/>
                <w:szCs w:val="20"/>
                <w:shd w:val="clear" w:fill="FFFFFF"/>
                <w:vertAlign w:val="baseline"/>
                <w:lang w:val="en-US" w:eastAsia="zh-CN"/>
              </w:rPr>
            </w:pPr>
            <w:r>
              <w:rPr>
                <w:rFonts w:hint="eastAsia" w:ascii="Times New Roman" w:hAnsi="Times New Roman" w:eastAsia="仿宋" w:cs="Times New Roman"/>
                <w:b w:val="0"/>
                <w:bCs w:val="0"/>
                <w:sz w:val="21"/>
                <w:szCs w:val="21"/>
                <w:vertAlign w:val="baseline"/>
                <w:lang w:val="en-US" w:eastAsia="zh-CN"/>
              </w:rPr>
              <w:t>从肠促胰素角度探讨益气清脑方抑制糖尿病脑病神经炎症的分子机制研究</w:t>
            </w:r>
          </w:p>
        </w:tc>
      </w:tr>
      <w:tr w14:paraId="24A8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6E2D7D77">
            <w:pPr>
              <w:jc w:val="center"/>
              <w:rPr>
                <w:rFonts w:hint="default" w:ascii="Times New Roman" w:hAnsi="Times New Roman" w:cs="Times New Roman"/>
                <w:i w:val="0"/>
                <w:iCs w:val="0"/>
                <w:caps w:val="0"/>
                <w:color w:val="333333"/>
                <w:spacing w:val="0"/>
                <w:sz w:val="20"/>
                <w:szCs w:val="20"/>
                <w:shd w:val="clear" w:fill="FFFFFF"/>
                <w:vertAlign w:val="baseline"/>
                <w:lang w:val="en-US" w:eastAsia="zh-CN"/>
              </w:rPr>
            </w:pPr>
            <w:r>
              <w:rPr>
                <w:rFonts w:hint="default" w:ascii="Times New Roman" w:hAnsi="Times New Roman" w:cs="Times New Roman"/>
                <w:i w:val="0"/>
                <w:iCs w:val="0"/>
                <w:caps w:val="0"/>
                <w:color w:val="333333"/>
                <w:spacing w:val="0"/>
                <w:sz w:val="20"/>
                <w:szCs w:val="20"/>
                <w:shd w:val="clear" w:fill="FFFFFF"/>
                <w:vertAlign w:val="baseline"/>
                <w:lang w:val="en-US" w:eastAsia="zh-CN"/>
              </w:rPr>
              <w:t>5</w:t>
            </w:r>
          </w:p>
        </w:tc>
        <w:tc>
          <w:tcPr>
            <w:tcW w:w="11815" w:type="dxa"/>
            <w:vAlign w:val="center"/>
          </w:tcPr>
          <w:p w14:paraId="1F8412CA">
            <w:pPr>
              <w:jc w:val="left"/>
              <w:rPr>
                <w:rFonts w:hint="default" w:ascii="sans-serif" w:hAnsi="sans-serif" w:cs="sans-serif"/>
                <w:i w:val="0"/>
                <w:iCs w:val="0"/>
                <w:caps w:val="0"/>
                <w:color w:val="333333"/>
                <w:spacing w:val="0"/>
                <w:sz w:val="20"/>
                <w:szCs w:val="20"/>
                <w:shd w:val="clear" w:fill="FFFFFF"/>
                <w:vertAlign w:val="baseline"/>
                <w:lang w:val="en-US" w:eastAsia="zh-CN"/>
              </w:rPr>
            </w:pPr>
            <w:r>
              <w:rPr>
                <w:rFonts w:hint="eastAsia" w:ascii="Times New Roman" w:hAnsi="Times New Roman" w:eastAsia="仿宋" w:cs="Times New Roman"/>
                <w:b w:val="0"/>
                <w:bCs w:val="0"/>
                <w:sz w:val="21"/>
                <w:szCs w:val="21"/>
                <w:vertAlign w:val="baseline"/>
                <w:lang w:val="en-US" w:eastAsia="zh-CN"/>
              </w:rPr>
              <w:t>基于代谢组学和生物信息学的血必净注射液治疗脓毒症相关急性肾损伤的药效学及机制研究</w:t>
            </w:r>
          </w:p>
        </w:tc>
      </w:tr>
      <w:tr w14:paraId="0409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1D095C86">
            <w:pPr>
              <w:jc w:val="center"/>
              <w:rPr>
                <w:rFonts w:hint="default" w:ascii="Times New Roman" w:hAnsi="Times New Roman" w:cs="Times New Roman"/>
                <w:i w:val="0"/>
                <w:iCs w:val="0"/>
                <w:caps w:val="0"/>
                <w:color w:val="333333"/>
                <w:spacing w:val="0"/>
                <w:sz w:val="20"/>
                <w:szCs w:val="20"/>
                <w:shd w:val="clear" w:fill="FFFFFF"/>
                <w:vertAlign w:val="baseline"/>
                <w:lang w:val="en-US" w:eastAsia="zh-CN"/>
              </w:rPr>
            </w:pPr>
            <w:r>
              <w:rPr>
                <w:rFonts w:hint="default" w:ascii="Times New Roman" w:hAnsi="Times New Roman" w:cs="Times New Roman"/>
                <w:i w:val="0"/>
                <w:iCs w:val="0"/>
                <w:caps w:val="0"/>
                <w:color w:val="333333"/>
                <w:spacing w:val="0"/>
                <w:sz w:val="20"/>
                <w:szCs w:val="20"/>
                <w:shd w:val="clear" w:fill="FFFFFF"/>
                <w:vertAlign w:val="baseline"/>
                <w:lang w:val="en-US" w:eastAsia="zh-CN"/>
              </w:rPr>
              <w:t>6</w:t>
            </w:r>
          </w:p>
        </w:tc>
        <w:tc>
          <w:tcPr>
            <w:tcW w:w="11815" w:type="dxa"/>
            <w:vAlign w:val="center"/>
          </w:tcPr>
          <w:p w14:paraId="085BED2C">
            <w:pPr>
              <w:jc w:val="left"/>
              <w:rPr>
                <w:rFonts w:hint="default" w:ascii="sans-serif" w:hAnsi="sans-serif" w:cs="sans-serif"/>
                <w:i w:val="0"/>
                <w:iCs w:val="0"/>
                <w:caps w:val="0"/>
                <w:color w:val="333333"/>
                <w:spacing w:val="0"/>
                <w:sz w:val="20"/>
                <w:szCs w:val="20"/>
                <w:shd w:val="clear" w:fill="FFFFFF"/>
                <w:vertAlign w:val="baseline"/>
                <w:lang w:val="en-US" w:eastAsia="zh-CN"/>
              </w:rPr>
            </w:pPr>
            <w:r>
              <w:rPr>
                <w:rFonts w:hint="eastAsia" w:ascii="Times New Roman" w:hAnsi="Times New Roman" w:eastAsia="仿宋" w:cs="Times New Roman"/>
                <w:b w:val="0"/>
                <w:bCs w:val="0"/>
                <w:sz w:val="21"/>
                <w:szCs w:val="21"/>
                <w:vertAlign w:val="baseline"/>
                <w:lang w:val="en-US" w:eastAsia="zh-CN"/>
              </w:rPr>
              <w:t>益气化瘀解毒方调控肿瘤相关性巨噬细胞外泌体miRNA促进胃癌化疗增敏的机制研究</w:t>
            </w:r>
          </w:p>
        </w:tc>
      </w:tr>
      <w:tr w14:paraId="5582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0B8DB4C7">
            <w:pPr>
              <w:jc w:val="center"/>
              <w:rPr>
                <w:rFonts w:hint="default" w:ascii="Times New Roman" w:hAnsi="Times New Roman" w:cs="Times New Roman"/>
                <w:i w:val="0"/>
                <w:iCs w:val="0"/>
                <w:caps w:val="0"/>
                <w:color w:val="333333"/>
                <w:spacing w:val="0"/>
                <w:sz w:val="20"/>
                <w:szCs w:val="20"/>
                <w:shd w:val="clear" w:fill="FFFFFF"/>
                <w:vertAlign w:val="baseline"/>
                <w:lang w:val="en-US" w:eastAsia="zh-CN"/>
              </w:rPr>
            </w:pPr>
            <w:r>
              <w:rPr>
                <w:rFonts w:hint="default" w:ascii="Times New Roman" w:hAnsi="Times New Roman" w:cs="Times New Roman"/>
                <w:i w:val="0"/>
                <w:iCs w:val="0"/>
                <w:caps w:val="0"/>
                <w:color w:val="333333"/>
                <w:spacing w:val="0"/>
                <w:sz w:val="20"/>
                <w:szCs w:val="20"/>
                <w:shd w:val="clear" w:fill="FFFFFF"/>
                <w:vertAlign w:val="baseline"/>
                <w:lang w:val="en-US" w:eastAsia="zh-CN"/>
              </w:rPr>
              <w:t>7</w:t>
            </w:r>
          </w:p>
        </w:tc>
        <w:tc>
          <w:tcPr>
            <w:tcW w:w="11815" w:type="dxa"/>
            <w:vAlign w:val="center"/>
          </w:tcPr>
          <w:p w14:paraId="45B9E50D">
            <w:pPr>
              <w:jc w:val="left"/>
              <w:rPr>
                <w:rFonts w:hint="default" w:ascii="sans-serif" w:hAnsi="sans-serif" w:cs="sans-serif"/>
                <w:i w:val="0"/>
                <w:iCs w:val="0"/>
                <w:caps w:val="0"/>
                <w:color w:val="333333"/>
                <w:spacing w:val="0"/>
                <w:sz w:val="20"/>
                <w:szCs w:val="20"/>
                <w:shd w:val="clear" w:fill="FFFFFF"/>
                <w:vertAlign w:val="baseline"/>
                <w:lang w:val="en-US" w:eastAsia="zh-CN"/>
              </w:rPr>
            </w:pPr>
            <w:r>
              <w:rPr>
                <w:rFonts w:hint="eastAsia" w:ascii="Times New Roman" w:hAnsi="Times New Roman" w:eastAsia="仿宋" w:cs="Times New Roman"/>
                <w:b w:val="0"/>
                <w:bCs w:val="0"/>
                <w:sz w:val="21"/>
                <w:szCs w:val="21"/>
                <w:vertAlign w:val="baseline"/>
                <w:lang w:val="en-US" w:eastAsia="zh-CN"/>
              </w:rPr>
              <w:t>祛风宣痹方靶向HIF-1α调控糖酵解影响ASMCs异常增殖的抗哮喘气道重塑机制研究</w:t>
            </w:r>
          </w:p>
        </w:tc>
      </w:tr>
      <w:tr w14:paraId="6164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42DA8A7D">
            <w:pPr>
              <w:jc w:val="center"/>
              <w:rPr>
                <w:rFonts w:hint="default" w:ascii="Times New Roman" w:hAnsi="Times New Roman" w:cs="Times New Roman"/>
                <w:i w:val="0"/>
                <w:iCs w:val="0"/>
                <w:caps w:val="0"/>
                <w:color w:val="333333"/>
                <w:spacing w:val="0"/>
                <w:sz w:val="20"/>
                <w:szCs w:val="20"/>
                <w:shd w:val="clear" w:fill="FFFFFF"/>
                <w:vertAlign w:val="baseline"/>
                <w:lang w:val="en-US" w:eastAsia="zh-CN"/>
              </w:rPr>
            </w:pPr>
            <w:r>
              <w:rPr>
                <w:rFonts w:hint="default" w:ascii="Times New Roman" w:hAnsi="Times New Roman" w:cs="Times New Roman"/>
                <w:i w:val="0"/>
                <w:iCs w:val="0"/>
                <w:caps w:val="0"/>
                <w:color w:val="333333"/>
                <w:spacing w:val="0"/>
                <w:sz w:val="20"/>
                <w:szCs w:val="20"/>
                <w:shd w:val="clear" w:fill="FFFFFF"/>
                <w:vertAlign w:val="baseline"/>
                <w:lang w:val="en-US" w:eastAsia="zh-CN"/>
              </w:rPr>
              <w:t>8</w:t>
            </w:r>
          </w:p>
        </w:tc>
        <w:tc>
          <w:tcPr>
            <w:tcW w:w="11815" w:type="dxa"/>
            <w:vAlign w:val="center"/>
          </w:tcPr>
          <w:p w14:paraId="447ED98E">
            <w:pPr>
              <w:jc w:val="left"/>
              <w:rPr>
                <w:rFonts w:hint="default" w:ascii="sans-serif" w:hAnsi="sans-serif" w:cs="sans-serif"/>
                <w:i w:val="0"/>
                <w:iCs w:val="0"/>
                <w:caps w:val="0"/>
                <w:color w:val="333333"/>
                <w:spacing w:val="0"/>
                <w:sz w:val="20"/>
                <w:szCs w:val="20"/>
                <w:shd w:val="clear" w:fill="FFFFFF"/>
                <w:vertAlign w:val="baseline"/>
                <w:lang w:val="en-US" w:eastAsia="zh-CN"/>
              </w:rPr>
            </w:pPr>
            <w:r>
              <w:rPr>
                <w:rFonts w:hint="eastAsia" w:ascii="Times New Roman" w:hAnsi="Times New Roman" w:eastAsia="仿宋" w:cs="Times New Roman"/>
                <w:b w:val="0"/>
                <w:bCs w:val="0"/>
                <w:sz w:val="21"/>
                <w:szCs w:val="21"/>
                <w:vertAlign w:val="baseline"/>
                <w:lang w:val="en-US" w:eastAsia="zh-CN"/>
              </w:rPr>
              <w:t>健脾贴外用穴位贴敷治疗脾虚夹积型积滞的临床与机制研究</w:t>
            </w:r>
          </w:p>
        </w:tc>
      </w:tr>
      <w:tr w14:paraId="6669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51EDE046">
            <w:pPr>
              <w:jc w:val="center"/>
              <w:rPr>
                <w:rFonts w:hint="default" w:ascii="Times New Roman" w:hAnsi="Times New Roman" w:cs="Times New Roman"/>
                <w:i w:val="0"/>
                <w:iCs w:val="0"/>
                <w:caps w:val="0"/>
                <w:color w:val="333333"/>
                <w:spacing w:val="0"/>
                <w:sz w:val="20"/>
                <w:szCs w:val="20"/>
                <w:shd w:val="clear" w:fill="FFFFFF"/>
                <w:vertAlign w:val="baseline"/>
                <w:lang w:val="en-US" w:eastAsia="zh-CN"/>
              </w:rPr>
            </w:pPr>
            <w:r>
              <w:rPr>
                <w:rFonts w:hint="default" w:ascii="Times New Roman" w:hAnsi="Times New Roman" w:cs="Times New Roman"/>
                <w:i w:val="0"/>
                <w:iCs w:val="0"/>
                <w:caps w:val="0"/>
                <w:color w:val="333333"/>
                <w:spacing w:val="0"/>
                <w:sz w:val="20"/>
                <w:szCs w:val="20"/>
                <w:shd w:val="clear" w:fill="FFFFFF"/>
                <w:vertAlign w:val="baseline"/>
                <w:lang w:val="en-US" w:eastAsia="zh-CN"/>
              </w:rPr>
              <w:t>9</w:t>
            </w:r>
          </w:p>
        </w:tc>
        <w:tc>
          <w:tcPr>
            <w:tcW w:w="11815" w:type="dxa"/>
            <w:vAlign w:val="center"/>
          </w:tcPr>
          <w:p w14:paraId="11E5117B">
            <w:pPr>
              <w:jc w:val="left"/>
              <w:rPr>
                <w:rFonts w:hint="default" w:ascii="sans-serif" w:hAnsi="sans-serif" w:cs="sans-serif"/>
                <w:i w:val="0"/>
                <w:iCs w:val="0"/>
                <w:caps w:val="0"/>
                <w:color w:val="333333"/>
                <w:spacing w:val="0"/>
                <w:sz w:val="20"/>
                <w:szCs w:val="20"/>
                <w:shd w:val="clear" w:fill="FFFFFF"/>
                <w:vertAlign w:val="baseline"/>
                <w:lang w:val="en-US" w:eastAsia="zh-CN"/>
              </w:rPr>
            </w:pPr>
            <w:r>
              <w:rPr>
                <w:rFonts w:hint="eastAsia" w:ascii="Times New Roman" w:hAnsi="Times New Roman" w:eastAsia="仿宋" w:cs="Times New Roman"/>
                <w:b w:val="0"/>
                <w:bCs w:val="0"/>
                <w:sz w:val="21"/>
                <w:szCs w:val="21"/>
                <w:vertAlign w:val="baseline"/>
                <w:lang w:val="en-US" w:eastAsia="zh-CN"/>
              </w:rPr>
              <w:t>益气活血方调控线粒体稳态治疗缺血性心衰气虚血瘀证的作用机制研究</w:t>
            </w:r>
          </w:p>
        </w:tc>
      </w:tr>
      <w:tr w14:paraId="1CF1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4D72F070">
            <w:pPr>
              <w:jc w:val="center"/>
              <w:rPr>
                <w:rFonts w:hint="default" w:ascii="Times New Roman" w:hAnsi="Times New Roman" w:cs="Times New Roman"/>
                <w:i w:val="0"/>
                <w:iCs w:val="0"/>
                <w:caps w:val="0"/>
                <w:color w:val="333333"/>
                <w:spacing w:val="0"/>
                <w:sz w:val="20"/>
                <w:szCs w:val="20"/>
                <w:shd w:val="clear" w:fill="FFFFFF"/>
                <w:vertAlign w:val="baseline"/>
                <w:lang w:val="en-US" w:eastAsia="zh-CN"/>
              </w:rPr>
            </w:pPr>
            <w:r>
              <w:rPr>
                <w:rFonts w:hint="default" w:ascii="Times New Roman" w:hAnsi="Times New Roman" w:cs="Times New Roman"/>
                <w:i w:val="0"/>
                <w:iCs w:val="0"/>
                <w:caps w:val="0"/>
                <w:color w:val="333333"/>
                <w:spacing w:val="0"/>
                <w:sz w:val="20"/>
                <w:szCs w:val="20"/>
                <w:shd w:val="clear" w:fill="FFFFFF"/>
                <w:vertAlign w:val="baseline"/>
                <w:lang w:val="en-US" w:eastAsia="zh-CN"/>
              </w:rPr>
              <w:t>10</w:t>
            </w:r>
          </w:p>
        </w:tc>
        <w:tc>
          <w:tcPr>
            <w:tcW w:w="11815" w:type="dxa"/>
            <w:vAlign w:val="center"/>
          </w:tcPr>
          <w:p w14:paraId="62F4E80E">
            <w:pPr>
              <w:jc w:val="left"/>
              <w:rPr>
                <w:rFonts w:hint="default" w:ascii="sans-serif" w:hAnsi="sans-serif" w:cs="sans-serif"/>
                <w:i w:val="0"/>
                <w:iCs w:val="0"/>
                <w:caps w:val="0"/>
                <w:color w:val="333333"/>
                <w:spacing w:val="0"/>
                <w:sz w:val="20"/>
                <w:szCs w:val="20"/>
                <w:shd w:val="clear" w:fill="FFFFFF"/>
                <w:vertAlign w:val="baseline"/>
                <w:lang w:val="en-US" w:eastAsia="zh-CN"/>
              </w:rPr>
            </w:pPr>
            <w:r>
              <w:rPr>
                <w:rFonts w:hint="eastAsia" w:ascii="Times New Roman" w:hAnsi="Times New Roman" w:eastAsia="仿宋" w:cs="Times New Roman"/>
                <w:b w:val="0"/>
                <w:bCs w:val="0"/>
                <w:sz w:val="21"/>
                <w:szCs w:val="21"/>
                <w:vertAlign w:val="baseline"/>
                <w:lang w:val="en-US" w:eastAsia="zh-CN"/>
              </w:rPr>
              <w:t>益气活血方联合维立西呱治疗气虚血瘀型HFrEF的临床与机制研究</w:t>
            </w:r>
          </w:p>
        </w:tc>
      </w:tr>
      <w:tr w14:paraId="17D6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7A777898">
            <w:pPr>
              <w:jc w:val="center"/>
              <w:rPr>
                <w:rFonts w:hint="default" w:ascii="Times New Roman" w:hAnsi="Times New Roman" w:cs="Times New Roman"/>
                <w:i w:val="0"/>
                <w:iCs w:val="0"/>
                <w:caps w:val="0"/>
                <w:color w:val="333333"/>
                <w:spacing w:val="0"/>
                <w:sz w:val="20"/>
                <w:szCs w:val="20"/>
                <w:shd w:val="clear" w:fill="FFFFFF"/>
                <w:vertAlign w:val="baseline"/>
                <w:lang w:val="en-US" w:eastAsia="zh-CN"/>
              </w:rPr>
            </w:pPr>
            <w:r>
              <w:rPr>
                <w:rFonts w:hint="eastAsia" w:ascii="Times New Roman" w:hAnsi="Times New Roman" w:cs="Times New Roman"/>
                <w:i w:val="0"/>
                <w:iCs w:val="0"/>
                <w:caps w:val="0"/>
                <w:color w:val="333333"/>
                <w:spacing w:val="0"/>
                <w:sz w:val="20"/>
                <w:szCs w:val="20"/>
                <w:shd w:val="clear" w:fill="FFFFFF"/>
                <w:vertAlign w:val="baseline"/>
                <w:lang w:val="en-US" w:eastAsia="zh-CN"/>
              </w:rPr>
              <w:t>11</w:t>
            </w:r>
          </w:p>
        </w:tc>
        <w:tc>
          <w:tcPr>
            <w:tcW w:w="11815" w:type="dxa"/>
            <w:vAlign w:val="center"/>
          </w:tcPr>
          <w:p w14:paraId="62F49AAE">
            <w:pPr>
              <w:jc w:val="left"/>
              <w:rPr>
                <w:rFonts w:hint="eastAsia"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基于“醒脑开窍”理论探究铜砭刮痧联合吞咽训练对卒中后吞咽障碍患者的效果观察</w:t>
            </w:r>
          </w:p>
        </w:tc>
      </w:tr>
    </w:tbl>
    <w:p w14:paraId="10E78284">
      <w:pPr>
        <w:rPr>
          <w:rFonts w:hint="default" w:ascii="sans-serif" w:hAnsi="sans-serif" w:cs="sans-serif"/>
          <w:i w:val="0"/>
          <w:iCs w:val="0"/>
          <w:caps w:val="0"/>
          <w:color w:val="333333"/>
          <w:spacing w:val="0"/>
          <w:sz w:val="20"/>
          <w:szCs w:val="20"/>
          <w:shd w:val="clear" w:fill="FFFFFF"/>
          <w:lang w:val="en-US" w:eastAsia="zh-CN"/>
        </w:rPr>
      </w:pPr>
    </w:p>
    <w:p w14:paraId="7CA4053D">
      <w:pPr>
        <w:rPr>
          <w:rFonts w:hint="eastAsia" w:ascii="sans-serif" w:hAnsi="sans-serif" w:cs="sans-serif"/>
          <w:b/>
          <w:bCs/>
          <w:i w:val="0"/>
          <w:iCs w:val="0"/>
          <w:caps w:val="0"/>
          <w:color w:val="333333"/>
          <w:spacing w:val="0"/>
          <w:sz w:val="20"/>
          <w:szCs w:val="20"/>
          <w:shd w:val="clear" w:fill="FFFFFF"/>
          <w:lang w:val="en-US" w:eastAsia="zh-CN"/>
        </w:rPr>
      </w:pPr>
      <w:r>
        <w:rPr>
          <w:rFonts w:hint="eastAsia" w:ascii="sans-serif" w:hAnsi="sans-serif" w:cs="sans-serif"/>
          <w:b/>
          <w:bCs/>
          <w:i w:val="0"/>
          <w:iCs w:val="0"/>
          <w:caps w:val="0"/>
          <w:color w:val="333333"/>
          <w:spacing w:val="0"/>
          <w:sz w:val="20"/>
          <w:szCs w:val="20"/>
          <w:shd w:val="clear" w:fill="FFFFFF"/>
          <w:lang w:val="en-US" w:eastAsia="zh-CN"/>
        </w:rPr>
        <w:t>二、青年培育项目</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1815"/>
      </w:tblGrid>
      <w:tr w14:paraId="78F3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0" w:type="dxa"/>
            <w:vAlign w:val="center"/>
          </w:tcPr>
          <w:p w14:paraId="578CC297">
            <w:pPr>
              <w:jc w:val="center"/>
              <w:rPr>
                <w:rFonts w:hint="default" w:ascii="sans-serif" w:hAnsi="sans-serif" w:cs="sans-serif"/>
                <w:b/>
                <w:bCs/>
                <w:i w:val="0"/>
                <w:iCs w:val="0"/>
                <w:caps w:val="0"/>
                <w:color w:val="333333"/>
                <w:spacing w:val="0"/>
                <w:sz w:val="20"/>
                <w:szCs w:val="20"/>
                <w:shd w:val="clear" w:fill="FFFFFF"/>
                <w:vertAlign w:val="baseline"/>
                <w:lang w:val="en-US" w:eastAsia="zh-CN"/>
              </w:rPr>
            </w:pPr>
            <w:r>
              <w:rPr>
                <w:rFonts w:hint="eastAsia" w:ascii="sans-serif" w:hAnsi="sans-serif" w:cs="sans-serif"/>
                <w:b/>
                <w:bCs/>
                <w:i w:val="0"/>
                <w:iCs w:val="0"/>
                <w:caps w:val="0"/>
                <w:color w:val="333333"/>
                <w:spacing w:val="0"/>
                <w:sz w:val="20"/>
                <w:szCs w:val="20"/>
                <w:shd w:val="clear" w:fill="FFFFFF"/>
                <w:vertAlign w:val="baseline"/>
                <w:lang w:val="en-US" w:eastAsia="zh-CN"/>
              </w:rPr>
              <w:t>序号</w:t>
            </w:r>
          </w:p>
        </w:tc>
        <w:tc>
          <w:tcPr>
            <w:tcW w:w="11815" w:type="dxa"/>
            <w:vAlign w:val="center"/>
          </w:tcPr>
          <w:p w14:paraId="7CE40AC6">
            <w:pPr>
              <w:jc w:val="center"/>
              <w:rPr>
                <w:rFonts w:hint="default" w:ascii="sans-serif" w:hAnsi="sans-serif" w:cs="sans-serif"/>
                <w:b/>
                <w:bCs/>
                <w:i w:val="0"/>
                <w:iCs w:val="0"/>
                <w:caps w:val="0"/>
                <w:color w:val="333333"/>
                <w:spacing w:val="0"/>
                <w:sz w:val="20"/>
                <w:szCs w:val="20"/>
                <w:shd w:val="clear" w:fill="FFFFFF"/>
                <w:vertAlign w:val="baseline"/>
                <w:lang w:val="en-US" w:eastAsia="zh-CN"/>
              </w:rPr>
            </w:pPr>
            <w:r>
              <w:rPr>
                <w:rFonts w:hint="eastAsia" w:ascii="sans-serif" w:hAnsi="sans-serif" w:cs="sans-serif"/>
                <w:b/>
                <w:bCs/>
                <w:i w:val="0"/>
                <w:iCs w:val="0"/>
                <w:caps w:val="0"/>
                <w:color w:val="333333"/>
                <w:spacing w:val="0"/>
                <w:sz w:val="20"/>
                <w:szCs w:val="20"/>
                <w:shd w:val="clear" w:fill="FFFFFF"/>
                <w:vertAlign w:val="baseline"/>
                <w:lang w:val="en-US" w:eastAsia="zh-CN"/>
              </w:rPr>
              <w:t>主要内容</w:t>
            </w:r>
          </w:p>
        </w:tc>
      </w:tr>
      <w:tr w14:paraId="6788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0" w:type="dxa"/>
            <w:vAlign w:val="center"/>
          </w:tcPr>
          <w:p w14:paraId="3C80206A">
            <w:pPr>
              <w:spacing w:line="240" w:lineRule="auto"/>
              <w:jc w:val="center"/>
              <w:rPr>
                <w:rFonts w:hint="default" w:ascii="Times New Roman" w:hAnsi="Times New Roman" w:cs="Times New Roman"/>
                <w:i w:val="0"/>
                <w:iCs w:val="0"/>
                <w:caps w:val="0"/>
                <w:color w:val="333333"/>
                <w:spacing w:val="0"/>
                <w:sz w:val="20"/>
                <w:szCs w:val="20"/>
                <w:shd w:val="clear" w:fill="FFFFFF"/>
                <w:vertAlign w:val="baseline"/>
                <w:lang w:val="en-US" w:eastAsia="zh-CN"/>
              </w:rPr>
            </w:pPr>
            <w:r>
              <w:rPr>
                <w:rFonts w:hint="default" w:ascii="Times New Roman" w:hAnsi="Times New Roman" w:cs="Times New Roman"/>
                <w:i w:val="0"/>
                <w:iCs w:val="0"/>
                <w:caps w:val="0"/>
                <w:color w:val="333333"/>
                <w:spacing w:val="0"/>
                <w:sz w:val="20"/>
                <w:szCs w:val="20"/>
                <w:shd w:val="clear" w:fill="FFFFFF"/>
                <w:vertAlign w:val="baseline"/>
                <w:lang w:val="en-US" w:eastAsia="zh-CN"/>
              </w:rPr>
              <w:t>1</w:t>
            </w:r>
          </w:p>
        </w:tc>
        <w:tc>
          <w:tcPr>
            <w:tcW w:w="11815" w:type="dxa"/>
            <w:vAlign w:val="center"/>
          </w:tcPr>
          <w:p w14:paraId="7E8C87CA">
            <w:pPr>
              <w:spacing w:line="240" w:lineRule="auto"/>
              <w:jc w:val="left"/>
              <w:rPr>
                <w:rFonts w:hint="default" w:ascii="sans-serif" w:hAnsi="sans-serif" w:cs="sans-serif"/>
                <w:i w:val="0"/>
                <w:iCs w:val="0"/>
                <w:caps w:val="0"/>
                <w:color w:val="333333"/>
                <w:spacing w:val="0"/>
                <w:sz w:val="20"/>
                <w:szCs w:val="20"/>
                <w:shd w:val="clear" w:fill="FFFFFF"/>
                <w:vertAlign w:val="baseline"/>
                <w:lang w:val="en-US" w:eastAsia="zh-CN"/>
              </w:rPr>
            </w:pPr>
            <w:r>
              <w:rPr>
                <w:rFonts w:hint="eastAsia" w:ascii="Times New Roman" w:hAnsi="Times New Roman" w:eastAsia="仿宋" w:cs="Times New Roman"/>
                <w:b w:val="0"/>
                <w:bCs w:val="0"/>
                <w:sz w:val="21"/>
                <w:szCs w:val="21"/>
                <w:vertAlign w:val="baseline"/>
                <w:lang w:val="en-US" w:eastAsia="zh-CN"/>
              </w:rPr>
              <w:t>加味犀角地黄汤调控星形胶质细胞“Nrf2-胆固醇稳态”轴促进髓鞘再生进而改善卒中后认知功能障碍的机制研究</w:t>
            </w:r>
          </w:p>
        </w:tc>
      </w:tr>
      <w:tr w14:paraId="2DDA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67EAAC6E">
            <w:pPr>
              <w:spacing w:line="240" w:lineRule="auto"/>
              <w:jc w:val="center"/>
              <w:rPr>
                <w:rFonts w:hint="default" w:ascii="Times New Roman" w:hAnsi="Times New Roman" w:cs="Times New Roman"/>
                <w:i w:val="0"/>
                <w:iCs w:val="0"/>
                <w:caps w:val="0"/>
                <w:color w:val="333333"/>
                <w:spacing w:val="0"/>
                <w:sz w:val="20"/>
                <w:szCs w:val="20"/>
                <w:shd w:val="clear" w:fill="FFFFFF"/>
                <w:vertAlign w:val="baseline"/>
                <w:lang w:val="en-US" w:eastAsia="zh-CN"/>
              </w:rPr>
            </w:pPr>
            <w:r>
              <w:rPr>
                <w:rFonts w:hint="default" w:ascii="Times New Roman" w:hAnsi="Times New Roman" w:cs="Times New Roman"/>
                <w:i w:val="0"/>
                <w:iCs w:val="0"/>
                <w:caps w:val="0"/>
                <w:color w:val="333333"/>
                <w:spacing w:val="0"/>
                <w:sz w:val="20"/>
                <w:szCs w:val="20"/>
                <w:shd w:val="clear" w:fill="FFFFFF"/>
                <w:vertAlign w:val="baseline"/>
                <w:lang w:val="en-US" w:eastAsia="zh-CN"/>
              </w:rPr>
              <w:t>2</w:t>
            </w:r>
          </w:p>
        </w:tc>
        <w:tc>
          <w:tcPr>
            <w:tcW w:w="11815" w:type="dxa"/>
            <w:vAlign w:val="center"/>
          </w:tcPr>
          <w:p w14:paraId="77C36B1E">
            <w:pPr>
              <w:spacing w:line="240" w:lineRule="auto"/>
              <w:jc w:val="left"/>
              <w:rPr>
                <w:rFonts w:hint="default" w:ascii="sans-serif" w:hAnsi="sans-serif" w:cs="sans-serif"/>
                <w:i w:val="0"/>
                <w:iCs w:val="0"/>
                <w:caps w:val="0"/>
                <w:color w:val="333333"/>
                <w:spacing w:val="0"/>
                <w:sz w:val="20"/>
                <w:szCs w:val="20"/>
                <w:shd w:val="clear" w:fill="FFFFFF"/>
                <w:vertAlign w:val="baseline"/>
                <w:lang w:val="en-US" w:eastAsia="zh-CN"/>
              </w:rPr>
            </w:pPr>
            <w:r>
              <w:rPr>
                <w:rFonts w:hint="eastAsia" w:ascii="Times New Roman" w:hAnsi="Times New Roman" w:eastAsia="仿宋" w:cs="Times New Roman"/>
                <w:b w:val="0"/>
                <w:bCs w:val="0"/>
                <w:sz w:val="21"/>
                <w:szCs w:val="21"/>
                <w:vertAlign w:val="baseline"/>
                <w:lang w:val="en-US" w:eastAsia="zh-CN"/>
              </w:rPr>
              <w:t>基于SPP1+巨噬细胞探讨昆葵保肾方抗DKD肾纤维化的临床疗效及机制研究</w:t>
            </w:r>
          </w:p>
        </w:tc>
      </w:tr>
      <w:tr w14:paraId="1D33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vAlign w:val="center"/>
          </w:tcPr>
          <w:p w14:paraId="0733038D">
            <w:pPr>
              <w:spacing w:line="240" w:lineRule="auto"/>
              <w:jc w:val="center"/>
              <w:rPr>
                <w:rFonts w:hint="default" w:ascii="Times New Roman" w:hAnsi="Times New Roman" w:cs="Times New Roman"/>
                <w:i w:val="0"/>
                <w:iCs w:val="0"/>
                <w:caps w:val="0"/>
                <w:color w:val="333333"/>
                <w:spacing w:val="0"/>
                <w:sz w:val="20"/>
                <w:szCs w:val="20"/>
                <w:shd w:val="clear" w:fill="FFFFFF"/>
                <w:vertAlign w:val="baseline"/>
                <w:lang w:val="en-US" w:eastAsia="zh-CN"/>
              </w:rPr>
            </w:pPr>
            <w:r>
              <w:rPr>
                <w:rFonts w:hint="default" w:ascii="Times New Roman" w:hAnsi="Times New Roman" w:cs="Times New Roman"/>
                <w:i w:val="0"/>
                <w:iCs w:val="0"/>
                <w:caps w:val="0"/>
                <w:color w:val="333333"/>
                <w:spacing w:val="0"/>
                <w:sz w:val="20"/>
                <w:szCs w:val="20"/>
                <w:shd w:val="clear" w:fill="FFFFFF"/>
                <w:vertAlign w:val="baseline"/>
                <w:lang w:val="en-US" w:eastAsia="zh-CN"/>
              </w:rPr>
              <w:t>3</w:t>
            </w:r>
          </w:p>
        </w:tc>
        <w:tc>
          <w:tcPr>
            <w:tcW w:w="11815" w:type="dxa"/>
            <w:vAlign w:val="center"/>
          </w:tcPr>
          <w:p w14:paraId="33660691">
            <w:pPr>
              <w:spacing w:line="240" w:lineRule="auto"/>
              <w:jc w:val="left"/>
              <w:rPr>
                <w:rFonts w:hint="default" w:ascii="sans-serif" w:hAnsi="sans-serif" w:cs="sans-serif"/>
                <w:i w:val="0"/>
                <w:iCs w:val="0"/>
                <w:caps w:val="0"/>
                <w:color w:val="333333"/>
                <w:spacing w:val="0"/>
                <w:sz w:val="20"/>
                <w:szCs w:val="20"/>
                <w:shd w:val="clear" w:fill="FFFFFF"/>
                <w:vertAlign w:val="baseline"/>
                <w:lang w:val="en-US" w:eastAsia="zh-CN"/>
              </w:rPr>
            </w:pPr>
            <w:r>
              <w:rPr>
                <w:rFonts w:hint="eastAsia" w:ascii="Times New Roman" w:hAnsi="Times New Roman" w:eastAsia="仿宋" w:cs="Times New Roman"/>
                <w:b w:val="0"/>
                <w:bCs w:val="0"/>
                <w:sz w:val="21"/>
                <w:szCs w:val="21"/>
                <w:vertAlign w:val="baseline"/>
                <w:lang w:val="en-US" w:eastAsia="zh-CN"/>
              </w:rPr>
              <w:t>基于NF-κB-IL6信号通路探讨黄芪桂枝五物汤预防奥沙利铂慢性周围神经毒性机制</w:t>
            </w:r>
          </w:p>
        </w:tc>
      </w:tr>
      <w:tr w14:paraId="1CFE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33F4FCB2">
            <w:pPr>
              <w:spacing w:line="240" w:lineRule="auto"/>
              <w:jc w:val="center"/>
              <w:rPr>
                <w:rFonts w:hint="default" w:ascii="Times New Roman" w:hAnsi="Times New Roman" w:cs="Times New Roman"/>
                <w:i w:val="0"/>
                <w:iCs w:val="0"/>
                <w:caps w:val="0"/>
                <w:color w:val="333333"/>
                <w:spacing w:val="0"/>
                <w:sz w:val="20"/>
                <w:szCs w:val="20"/>
                <w:shd w:val="clear" w:fill="FFFFFF"/>
                <w:vertAlign w:val="baseline"/>
                <w:lang w:val="en-US" w:eastAsia="zh-CN"/>
              </w:rPr>
            </w:pPr>
            <w:r>
              <w:rPr>
                <w:rFonts w:hint="default" w:ascii="Times New Roman" w:hAnsi="Times New Roman" w:cs="Times New Roman"/>
                <w:i w:val="0"/>
                <w:iCs w:val="0"/>
                <w:caps w:val="0"/>
                <w:color w:val="333333"/>
                <w:spacing w:val="0"/>
                <w:sz w:val="20"/>
                <w:szCs w:val="20"/>
                <w:shd w:val="clear" w:fill="FFFFFF"/>
                <w:vertAlign w:val="baseline"/>
                <w:lang w:val="en-US" w:eastAsia="zh-CN"/>
              </w:rPr>
              <w:t>4</w:t>
            </w:r>
          </w:p>
        </w:tc>
        <w:tc>
          <w:tcPr>
            <w:tcW w:w="11815" w:type="dxa"/>
            <w:vAlign w:val="center"/>
          </w:tcPr>
          <w:p w14:paraId="7FE38504">
            <w:pPr>
              <w:spacing w:line="240" w:lineRule="auto"/>
              <w:jc w:val="left"/>
              <w:rPr>
                <w:rFonts w:hint="default" w:ascii="sans-serif" w:hAnsi="sans-serif" w:cs="sans-serif"/>
                <w:i w:val="0"/>
                <w:iCs w:val="0"/>
                <w:caps w:val="0"/>
                <w:color w:val="333333"/>
                <w:spacing w:val="0"/>
                <w:sz w:val="20"/>
                <w:szCs w:val="20"/>
                <w:shd w:val="clear" w:fill="FFFFFF"/>
                <w:vertAlign w:val="baseline"/>
                <w:lang w:val="en-US" w:eastAsia="zh-CN"/>
              </w:rPr>
            </w:pPr>
            <w:r>
              <w:rPr>
                <w:rFonts w:hint="eastAsia" w:ascii="Times New Roman" w:hAnsi="Times New Roman" w:eastAsia="仿宋" w:cs="Times New Roman"/>
                <w:b w:val="0"/>
                <w:bCs w:val="0"/>
                <w:sz w:val="21"/>
                <w:szCs w:val="21"/>
                <w:vertAlign w:val="baseline"/>
                <w:lang w:val="en-US" w:eastAsia="zh-CN"/>
              </w:rPr>
              <w:t>基于“阳化气，阴成形”理论探讨内镜下治疗联合芪参仙术饮防治结直肠腺瘤的疗效观察及机制研究</w:t>
            </w:r>
          </w:p>
        </w:tc>
      </w:tr>
      <w:tr w14:paraId="3577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5C8C6852">
            <w:pPr>
              <w:spacing w:line="240" w:lineRule="auto"/>
              <w:jc w:val="center"/>
              <w:rPr>
                <w:rFonts w:hint="default" w:ascii="Times New Roman" w:hAnsi="Times New Roman" w:cs="Times New Roman"/>
                <w:i w:val="0"/>
                <w:iCs w:val="0"/>
                <w:caps w:val="0"/>
                <w:color w:val="333333"/>
                <w:spacing w:val="0"/>
                <w:sz w:val="20"/>
                <w:szCs w:val="20"/>
                <w:shd w:val="clear" w:fill="FFFFFF"/>
                <w:vertAlign w:val="baseline"/>
                <w:lang w:val="en-US" w:eastAsia="zh-CN"/>
              </w:rPr>
            </w:pPr>
            <w:r>
              <w:rPr>
                <w:rFonts w:hint="default" w:ascii="Times New Roman" w:hAnsi="Times New Roman" w:cs="Times New Roman"/>
                <w:i w:val="0"/>
                <w:iCs w:val="0"/>
                <w:caps w:val="0"/>
                <w:color w:val="333333"/>
                <w:spacing w:val="0"/>
                <w:sz w:val="20"/>
                <w:szCs w:val="20"/>
                <w:shd w:val="clear" w:fill="FFFFFF"/>
                <w:vertAlign w:val="baseline"/>
                <w:lang w:val="en-US" w:eastAsia="zh-CN"/>
              </w:rPr>
              <w:t>5</w:t>
            </w:r>
          </w:p>
        </w:tc>
        <w:tc>
          <w:tcPr>
            <w:tcW w:w="11815" w:type="dxa"/>
            <w:vAlign w:val="center"/>
          </w:tcPr>
          <w:p w14:paraId="7C53E338">
            <w:pPr>
              <w:spacing w:line="240" w:lineRule="auto"/>
              <w:jc w:val="left"/>
              <w:rPr>
                <w:rFonts w:hint="default" w:ascii="sans-serif" w:hAnsi="sans-serif" w:cs="sans-serif"/>
                <w:i w:val="0"/>
                <w:iCs w:val="0"/>
                <w:caps w:val="0"/>
                <w:color w:val="333333"/>
                <w:spacing w:val="0"/>
                <w:sz w:val="20"/>
                <w:szCs w:val="20"/>
                <w:shd w:val="clear" w:fill="FFFFFF"/>
                <w:vertAlign w:val="baseline"/>
                <w:lang w:val="en-US" w:eastAsia="zh-CN"/>
              </w:rPr>
            </w:pPr>
            <w:r>
              <w:rPr>
                <w:rFonts w:hint="eastAsia" w:ascii="Times New Roman" w:hAnsi="Times New Roman" w:eastAsia="仿宋" w:cs="Times New Roman"/>
                <w:b w:val="0"/>
                <w:bCs w:val="0"/>
                <w:sz w:val="21"/>
                <w:szCs w:val="21"/>
                <w:vertAlign w:val="baseline"/>
                <w:lang w:val="en-US" w:eastAsia="zh-CN"/>
              </w:rPr>
              <w:t>天钩熄风方对风阳上扰型缺血性中风患者血管内皮功能及氧化应激机制的临床研究</w:t>
            </w:r>
          </w:p>
        </w:tc>
      </w:tr>
      <w:tr w14:paraId="0FB9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38D97C0D">
            <w:pPr>
              <w:spacing w:line="240" w:lineRule="auto"/>
              <w:jc w:val="center"/>
              <w:rPr>
                <w:rFonts w:hint="default" w:ascii="Times New Roman" w:hAnsi="Times New Roman" w:cs="Times New Roman"/>
                <w:i w:val="0"/>
                <w:iCs w:val="0"/>
                <w:caps w:val="0"/>
                <w:color w:val="333333"/>
                <w:spacing w:val="0"/>
                <w:sz w:val="20"/>
                <w:szCs w:val="20"/>
                <w:shd w:val="clear" w:fill="FFFFFF"/>
                <w:vertAlign w:val="baseline"/>
                <w:lang w:val="en-US" w:eastAsia="zh-CN"/>
              </w:rPr>
            </w:pPr>
            <w:r>
              <w:rPr>
                <w:rFonts w:hint="default" w:ascii="Times New Roman" w:hAnsi="Times New Roman" w:cs="Times New Roman"/>
                <w:i w:val="0"/>
                <w:iCs w:val="0"/>
                <w:caps w:val="0"/>
                <w:color w:val="333333"/>
                <w:spacing w:val="0"/>
                <w:sz w:val="20"/>
                <w:szCs w:val="20"/>
                <w:shd w:val="clear" w:fill="FFFFFF"/>
                <w:vertAlign w:val="baseline"/>
                <w:lang w:val="en-US" w:eastAsia="zh-CN"/>
              </w:rPr>
              <w:t>6</w:t>
            </w:r>
          </w:p>
        </w:tc>
        <w:tc>
          <w:tcPr>
            <w:tcW w:w="11815" w:type="dxa"/>
            <w:vAlign w:val="center"/>
          </w:tcPr>
          <w:p w14:paraId="2292811A">
            <w:pPr>
              <w:spacing w:line="240" w:lineRule="auto"/>
              <w:jc w:val="left"/>
              <w:rPr>
                <w:rFonts w:hint="default" w:ascii="sans-serif" w:hAnsi="sans-serif" w:cs="sans-serif"/>
                <w:i w:val="0"/>
                <w:iCs w:val="0"/>
                <w:caps w:val="0"/>
                <w:color w:val="333333"/>
                <w:spacing w:val="0"/>
                <w:sz w:val="20"/>
                <w:szCs w:val="20"/>
                <w:shd w:val="clear" w:fill="FFFFFF"/>
                <w:vertAlign w:val="baseline"/>
                <w:lang w:val="en-US" w:eastAsia="zh-CN"/>
              </w:rPr>
            </w:pPr>
            <w:r>
              <w:rPr>
                <w:rFonts w:hint="eastAsia" w:ascii="Times New Roman" w:hAnsi="Times New Roman" w:eastAsia="仿宋" w:cs="Times New Roman"/>
                <w:b w:val="0"/>
                <w:bCs w:val="0"/>
                <w:sz w:val="21"/>
                <w:szCs w:val="21"/>
                <w:vertAlign w:val="baseline"/>
                <w:lang w:val="en-US" w:eastAsia="zh-CN"/>
              </w:rPr>
              <w:t>基于“筋骨并重”下针药疗法干预原发性骨质疏松症对其运动功能的影响：随机对照研究</w:t>
            </w:r>
          </w:p>
        </w:tc>
      </w:tr>
      <w:tr w14:paraId="23C8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44264321">
            <w:pPr>
              <w:spacing w:line="240" w:lineRule="auto"/>
              <w:jc w:val="center"/>
              <w:rPr>
                <w:rFonts w:hint="default" w:ascii="Times New Roman" w:hAnsi="Times New Roman" w:cs="Times New Roman"/>
                <w:i w:val="0"/>
                <w:iCs w:val="0"/>
                <w:caps w:val="0"/>
                <w:color w:val="333333"/>
                <w:spacing w:val="0"/>
                <w:sz w:val="20"/>
                <w:szCs w:val="20"/>
                <w:shd w:val="clear" w:fill="FFFFFF"/>
                <w:vertAlign w:val="baseline"/>
                <w:lang w:val="en-US" w:eastAsia="zh-CN"/>
              </w:rPr>
            </w:pPr>
            <w:r>
              <w:rPr>
                <w:rFonts w:hint="default" w:ascii="Times New Roman" w:hAnsi="Times New Roman" w:cs="Times New Roman"/>
                <w:i w:val="0"/>
                <w:iCs w:val="0"/>
                <w:caps w:val="0"/>
                <w:color w:val="333333"/>
                <w:spacing w:val="0"/>
                <w:sz w:val="20"/>
                <w:szCs w:val="20"/>
                <w:shd w:val="clear" w:fill="FFFFFF"/>
                <w:vertAlign w:val="baseline"/>
                <w:lang w:val="en-US" w:eastAsia="zh-CN"/>
              </w:rPr>
              <w:t>7</w:t>
            </w:r>
          </w:p>
        </w:tc>
        <w:tc>
          <w:tcPr>
            <w:tcW w:w="11815" w:type="dxa"/>
            <w:vAlign w:val="center"/>
          </w:tcPr>
          <w:p w14:paraId="1F78509C">
            <w:pPr>
              <w:spacing w:line="240" w:lineRule="auto"/>
              <w:jc w:val="left"/>
              <w:rPr>
                <w:rFonts w:hint="default" w:ascii="sans-serif" w:hAnsi="sans-serif" w:cs="sans-serif"/>
                <w:i w:val="0"/>
                <w:iCs w:val="0"/>
                <w:caps w:val="0"/>
                <w:color w:val="333333"/>
                <w:spacing w:val="0"/>
                <w:sz w:val="20"/>
                <w:szCs w:val="20"/>
                <w:shd w:val="clear" w:fill="FFFFFF"/>
                <w:vertAlign w:val="baseline"/>
                <w:lang w:val="en-US" w:eastAsia="zh-CN"/>
              </w:rPr>
            </w:pPr>
            <w:r>
              <w:rPr>
                <w:rFonts w:hint="eastAsia" w:ascii="Times New Roman" w:hAnsi="Times New Roman" w:eastAsia="仿宋" w:cs="Times New Roman"/>
                <w:b w:val="0"/>
                <w:bCs w:val="0"/>
                <w:sz w:val="21"/>
                <w:szCs w:val="21"/>
                <w:vertAlign w:val="baseline"/>
                <w:lang w:val="en-US" w:eastAsia="zh-CN"/>
              </w:rPr>
              <w:t>桃红四物汤对下肢骨折诱导急性血瘀证模型大鼠血小板活化分子的影响</w:t>
            </w:r>
          </w:p>
        </w:tc>
      </w:tr>
      <w:tr w14:paraId="6F71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705E3A48">
            <w:pPr>
              <w:spacing w:line="240" w:lineRule="auto"/>
              <w:jc w:val="center"/>
              <w:rPr>
                <w:rFonts w:hint="default" w:ascii="Times New Roman" w:hAnsi="Times New Roman" w:cs="Times New Roman"/>
                <w:i w:val="0"/>
                <w:iCs w:val="0"/>
                <w:caps w:val="0"/>
                <w:color w:val="333333"/>
                <w:spacing w:val="0"/>
                <w:sz w:val="20"/>
                <w:szCs w:val="20"/>
                <w:shd w:val="clear" w:fill="FFFFFF"/>
                <w:vertAlign w:val="baseline"/>
                <w:lang w:val="en-US" w:eastAsia="zh-CN"/>
              </w:rPr>
            </w:pPr>
            <w:r>
              <w:rPr>
                <w:rFonts w:hint="default" w:ascii="Times New Roman" w:hAnsi="Times New Roman" w:cs="Times New Roman"/>
                <w:i w:val="0"/>
                <w:iCs w:val="0"/>
                <w:caps w:val="0"/>
                <w:color w:val="333333"/>
                <w:spacing w:val="0"/>
                <w:sz w:val="20"/>
                <w:szCs w:val="20"/>
                <w:shd w:val="clear" w:fill="FFFFFF"/>
                <w:vertAlign w:val="baseline"/>
                <w:lang w:val="en-US" w:eastAsia="zh-CN"/>
              </w:rPr>
              <w:t>8</w:t>
            </w:r>
          </w:p>
        </w:tc>
        <w:tc>
          <w:tcPr>
            <w:tcW w:w="11815" w:type="dxa"/>
            <w:vAlign w:val="center"/>
          </w:tcPr>
          <w:p w14:paraId="19F70806">
            <w:pPr>
              <w:spacing w:line="240" w:lineRule="auto"/>
              <w:jc w:val="left"/>
              <w:rPr>
                <w:rFonts w:hint="default" w:ascii="sans-serif" w:hAnsi="sans-serif" w:cs="sans-serif"/>
                <w:i w:val="0"/>
                <w:iCs w:val="0"/>
                <w:caps w:val="0"/>
                <w:color w:val="333333"/>
                <w:spacing w:val="0"/>
                <w:sz w:val="20"/>
                <w:szCs w:val="20"/>
                <w:shd w:val="clear" w:fill="FFFFFF"/>
                <w:vertAlign w:val="baseline"/>
                <w:lang w:val="en-US" w:eastAsia="zh-CN"/>
              </w:rPr>
            </w:pPr>
            <w:r>
              <w:rPr>
                <w:rFonts w:hint="eastAsia" w:ascii="Times New Roman" w:hAnsi="Times New Roman" w:eastAsia="仿宋" w:cs="Times New Roman"/>
                <w:b w:val="0"/>
                <w:bCs w:val="0"/>
                <w:sz w:val="21"/>
                <w:szCs w:val="21"/>
                <w:vertAlign w:val="baseline"/>
                <w:lang w:val="en-US" w:eastAsia="zh-CN"/>
              </w:rPr>
              <w:t>基于 CRISPR-Cas12a微流控技术用于唾液中对幽门螺旋杆菌鉴定与毒力基因以及耐药基因的快速检测</w:t>
            </w:r>
          </w:p>
        </w:tc>
      </w:tr>
      <w:tr w14:paraId="6F78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0ED22B9F">
            <w:pPr>
              <w:spacing w:line="240" w:lineRule="auto"/>
              <w:jc w:val="center"/>
              <w:rPr>
                <w:rFonts w:hint="default" w:ascii="Times New Roman" w:hAnsi="Times New Roman" w:cs="Times New Roman"/>
                <w:i w:val="0"/>
                <w:iCs w:val="0"/>
                <w:caps w:val="0"/>
                <w:color w:val="333333"/>
                <w:spacing w:val="0"/>
                <w:sz w:val="20"/>
                <w:szCs w:val="20"/>
                <w:shd w:val="clear" w:fill="FFFFFF"/>
                <w:vertAlign w:val="baseline"/>
                <w:lang w:val="en-US" w:eastAsia="zh-CN"/>
              </w:rPr>
            </w:pPr>
            <w:r>
              <w:rPr>
                <w:rFonts w:hint="default" w:ascii="Times New Roman" w:hAnsi="Times New Roman" w:cs="Times New Roman"/>
                <w:i w:val="0"/>
                <w:iCs w:val="0"/>
                <w:caps w:val="0"/>
                <w:color w:val="333333"/>
                <w:spacing w:val="0"/>
                <w:sz w:val="20"/>
                <w:szCs w:val="20"/>
                <w:shd w:val="clear" w:fill="FFFFFF"/>
                <w:vertAlign w:val="baseline"/>
                <w:lang w:val="en-US" w:eastAsia="zh-CN"/>
              </w:rPr>
              <w:t>9</w:t>
            </w:r>
          </w:p>
        </w:tc>
        <w:tc>
          <w:tcPr>
            <w:tcW w:w="11815" w:type="dxa"/>
            <w:vAlign w:val="center"/>
          </w:tcPr>
          <w:p w14:paraId="4B838878">
            <w:pPr>
              <w:spacing w:line="240" w:lineRule="auto"/>
              <w:jc w:val="left"/>
              <w:rPr>
                <w:rFonts w:hint="default" w:ascii="sans-serif" w:hAnsi="sans-serif" w:cs="sans-serif"/>
                <w:i w:val="0"/>
                <w:iCs w:val="0"/>
                <w:caps w:val="0"/>
                <w:color w:val="333333"/>
                <w:spacing w:val="0"/>
                <w:sz w:val="20"/>
                <w:szCs w:val="20"/>
                <w:shd w:val="clear" w:fill="FFFFFF"/>
                <w:vertAlign w:val="baseline"/>
                <w:lang w:val="en-US" w:eastAsia="zh-CN"/>
              </w:rPr>
            </w:pPr>
            <w:r>
              <w:rPr>
                <w:rFonts w:hint="eastAsia" w:ascii="Times New Roman" w:hAnsi="Times New Roman" w:eastAsia="仿宋" w:cs="Times New Roman"/>
                <w:b w:val="0"/>
                <w:bCs w:val="0"/>
                <w:sz w:val="21"/>
                <w:szCs w:val="21"/>
                <w:vertAlign w:val="baseline"/>
                <w:lang w:val="en-US" w:eastAsia="zh-CN"/>
              </w:rPr>
              <w:t>基于“子午流注”理论运用胃苓汤联合择时穴位贴敷治疗IBS-D伴睡眠障碍的临床研究</w:t>
            </w:r>
          </w:p>
        </w:tc>
      </w:tr>
      <w:tr w14:paraId="3B0F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7DBBDC42">
            <w:pPr>
              <w:spacing w:line="240" w:lineRule="auto"/>
              <w:jc w:val="center"/>
              <w:rPr>
                <w:rFonts w:hint="default" w:ascii="Times New Roman" w:hAnsi="Times New Roman" w:cs="Times New Roman"/>
                <w:i w:val="0"/>
                <w:iCs w:val="0"/>
                <w:caps w:val="0"/>
                <w:color w:val="333333"/>
                <w:spacing w:val="0"/>
                <w:sz w:val="20"/>
                <w:szCs w:val="20"/>
                <w:shd w:val="clear" w:fill="FFFFFF"/>
                <w:vertAlign w:val="baseline"/>
                <w:lang w:val="en-US" w:eastAsia="zh-CN"/>
              </w:rPr>
            </w:pPr>
            <w:r>
              <w:rPr>
                <w:rFonts w:hint="default" w:ascii="Times New Roman" w:hAnsi="Times New Roman" w:cs="Times New Roman"/>
                <w:i w:val="0"/>
                <w:iCs w:val="0"/>
                <w:caps w:val="0"/>
                <w:color w:val="333333"/>
                <w:spacing w:val="0"/>
                <w:sz w:val="20"/>
                <w:szCs w:val="20"/>
                <w:shd w:val="clear" w:fill="FFFFFF"/>
                <w:vertAlign w:val="baseline"/>
                <w:lang w:val="en-US" w:eastAsia="zh-CN"/>
              </w:rPr>
              <w:t>10</w:t>
            </w:r>
          </w:p>
        </w:tc>
        <w:tc>
          <w:tcPr>
            <w:tcW w:w="11815" w:type="dxa"/>
            <w:vAlign w:val="center"/>
          </w:tcPr>
          <w:p w14:paraId="7C974006">
            <w:pPr>
              <w:spacing w:line="240" w:lineRule="auto"/>
              <w:jc w:val="left"/>
              <w:rPr>
                <w:rFonts w:hint="default" w:ascii="sans-serif" w:hAnsi="sans-serif" w:cs="sans-serif"/>
                <w:i w:val="0"/>
                <w:iCs w:val="0"/>
                <w:caps w:val="0"/>
                <w:color w:val="333333"/>
                <w:spacing w:val="0"/>
                <w:sz w:val="20"/>
                <w:szCs w:val="20"/>
                <w:shd w:val="clear" w:fill="FFFFFF"/>
                <w:vertAlign w:val="baseline"/>
                <w:lang w:val="en-US" w:eastAsia="zh-CN"/>
              </w:rPr>
            </w:pPr>
            <w:r>
              <w:rPr>
                <w:rFonts w:hint="eastAsia" w:ascii="Times New Roman" w:hAnsi="Times New Roman" w:eastAsia="仿宋" w:cs="Times New Roman"/>
                <w:b w:val="0"/>
                <w:bCs w:val="0"/>
                <w:sz w:val="21"/>
                <w:szCs w:val="21"/>
                <w:vertAlign w:val="baseline"/>
                <w:lang w:val="en-US" w:eastAsia="zh-CN"/>
              </w:rPr>
              <w:t>SREBF2介导星形胶质细胞胆固醇合成障碍在新生期艾司氯胺酮麻醉致海马神经元突触可塑性损伤中的作用及机制研究</w:t>
            </w:r>
          </w:p>
        </w:tc>
      </w:tr>
      <w:tr w14:paraId="2600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3BCE9E72">
            <w:pPr>
              <w:spacing w:line="240" w:lineRule="auto"/>
              <w:jc w:val="center"/>
              <w:rPr>
                <w:rFonts w:hint="default" w:ascii="Times New Roman" w:hAnsi="Times New Roman" w:cs="Times New Roman"/>
                <w:i w:val="0"/>
                <w:iCs w:val="0"/>
                <w:caps w:val="0"/>
                <w:color w:val="333333"/>
                <w:spacing w:val="0"/>
                <w:sz w:val="20"/>
                <w:szCs w:val="20"/>
                <w:shd w:val="clear" w:fill="FFFFFF"/>
                <w:vertAlign w:val="baseline"/>
                <w:lang w:val="en-US" w:eastAsia="zh-CN"/>
              </w:rPr>
            </w:pPr>
            <w:r>
              <w:rPr>
                <w:rFonts w:hint="eastAsia" w:ascii="Times New Roman" w:hAnsi="Times New Roman" w:cs="Times New Roman"/>
                <w:i w:val="0"/>
                <w:iCs w:val="0"/>
                <w:caps w:val="0"/>
                <w:color w:val="333333"/>
                <w:spacing w:val="0"/>
                <w:sz w:val="20"/>
                <w:szCs w:val="20"/>
                <w:shd w:val="clear" w:fill="FFFFFF"/>
                <w:vertAlign w:val="baseline"/>
                <w:lang w:val="en-US" w:eastAsia="zh-CN"/>
              </w:rPr>
              <w:t>11</w:t>
            </w:r>
          </w:p>
        </w:tc>
        <w:tc>
          <w:tcPr>
            <w:tcW w:w="11815" w:type="dxa"/>
            <w:vAlign w:val="center"/>
          </w:tcPr>
          <w:p w14:paraId="47621F02">
            <w:pPr>
              <w:spacing w:line="240" w:lineRule="auto"/>
              <w:jc w:val="left"/>
              <w:rPr>
                <w:rFonts w:hint="eastAsia" w:ascii="Times New Roman" w:hAnsi="Times New Roman" w:eastAsia="仿宋" w:cs="Times New Roman"/>
                <w:b w:val="0"/>
                <w:bCs w:val="0"/>
                <w:sz w:val="20"/>
                <w:szCs w:val="20"/>
                <w:vertAlign w:val="baseline"/>
                <w:lang w:val="en-US" w:eastAsia="zh-CN"/>
              </w:rPr>
            </w:pPr>
            <w:r>
              <w:rPr>
                <w:rFonts w:hint="eastAsia" w:ascii="Times New Roman" w:hAnsi="Times New Roman" w:eastAsia="仿宋" w:cs="Times New Roman"/>
                <w:b w:val="0"/>
                <w:bCs w:val="0"/>
                <w:sz w:val="21"/>
                <w:szCs w:val="21"/>
                <w:vertAlign w:val="baseline"/>
                <w:lang w:val="en-US" w:eastAsia="zh-CN"/>
              </w:rPr>
              <w:t>围手术期鱼腥草滴眼液超声雾化预防白内障术后干眼症的效果分析</w:t>
            </w:r>
          </w:p>
        </w:tc>
      </w:tr>
      <w:tr w14:paraId="5434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5212BEF5">
            <w:pPr>
              <w:spacing w:line="240" w:lineRule="auto"/>
              <w:jc w:val="center"/>
              <w:rPr>
                <w:rFonts w:hint="default" w:ascii="Times New Roman" w:hAnsi="Times New Roman" w:cs="Times New Roman"/>
                <w:i w:val="0"/>
                <w:iCs w:val="0"/>
                <w:caps w:val="0"/>
                <w:color w:val="333333"/>
                <w:spacing w:val="0"/>
                <w:sz w:val="20"/>
                <w:szCs w:val="20"/>
                <w:shd w:val="clear" w:fill="FFFFFF"/>
                <w:vertAlign w:val="baseline"/>
                <w:lang w:val="en-US" w:eastAsia="zh-CN"/>
              </w:rPr>
            </w:pPr>
            <w:r>
              <w:rPr>
                <w:rFonts w:hint="eastAsia" w:ascii="Times New Roman" w:hAnsi="Times New Roman" w:cs="Times New Roman"/>
                <w:i w:val="0"/>
                <w:iCs w:val="0"/>
                <w:caps w:val="0"/>
                <w:color w:val="333333"/>
                <w:spacing w:val="0"/>
                <w:sz w:val="20"/>
                <w:szCs w:val="20"/>
                <w:shd w:val="clear" w:fill="FFFFFF"/>
                <w:vertAlign w:val="baseline"/>
                <w:lang w:val="en-US" w:eastAsia="zh-CN"/>
              </w:rPr>
              <w:t>12</w:t>
            </w:r>
          </w:p>
        </w:tc>
        <w:tc>
          <w:tcPr>
            <w:tcW w:w="11815" w:type="dxa"/>
            <w:vAlign w:val="center"/>
          </w:tcPr>
          <w:p w14:paraId="0264CF7B">
            <w:pPr>
              <w:spacing w:line="240" w:lineRule="auto"/>
              <w:jc w:val="left"/>
              <w:rPr>
                <w:rFonts w:hint="eastAsia" w:ascii="Times New Roman" w:hAnsi="Times New Roman" w:eastAsia="仿宋" w:cs="Times New Roman"/>
                <w:b w:val="0"/>
                <w:bCs w:val="0"/>
                <w:sz w:val="20"/>
                <w:szCs w:val="20"/>
                <w:vertAlign w:val="baseline"/>
                <w:lang w:val="en-US" w:eastAsia="zh-CN"/>
              </w:rPr>
            </w:pPr>
            <w:r>
              <w:rPr>
                <w:rFonts w:hint="eastAsia" w:ascii="Times New Roman" w:hAnsi="Times New Roman" w:eastAsia="仿宋" w:cs="Times New Roman"/>
                <w:b w:val="0"/>
                <w:bCs w:val="0"/>
                <w:sz w:val="21"/>
                <w:szCs w:val="21"/>
                <w:vertAlign w:val="baseline"/>
                <w:lang w:val="en-US" w:eastAsia="zh-CN"/>
              </w:rPr>
              <w:t>基于NOX4/ROS/PI3K通路探讨黄芩苷调控胃癌氧化应激抑制巨噬细胞极化的机制研究</w:t>
            </w:r>
          </w:p>
        </w:tc>
      </w:tr>
      <w:tr w14:paraId="523C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2F029F64">
            <w:pPr>
              <w:spacing w:line="240" w:lineRule="auto"/>
              <w:jc w:val="center"/>
              <w:rPr>
                <w:rFonts w:hint="default" w:ascii="Times New Roman" w:hAnsi="Times New Roman" w:cs="Times New Roman"/>
                <w:i w:val="0"/>
                <w:iCs w:val="0"/>
                <w:caps w:val="0"/>
                <w:color w:val="333333"/>
                <w:spacing w:val="0"/>
                <w:sz w:val="20"/>
                <w:szCs w:val="20"/>
                <w:shd w:val="clear" w:fill="FFFFFF"/>
                <w:vertAlign w:val="baseline"/>
                <w:lang w:val="en-US" w:eastAsia="zh-CN"/>
              </w:rPr>
            </w:pPr>
            <w:r>
              <w:rPr>
                <w:rFonts w:hint="eastAsia" w:ascii="Times New Roman" w:hAnsi="Times New Roman" w:cs="Times New Roman"/>
                <w:i w:val="0"/>
                <w:iCs w:val="0"/>
                <w:caps w:val="0"/>
                <w:color w:val="333333"/>
                <w:spacing w:val="0"/>
                <w:sz w:val="20"/>
                <w:szCs w:val="20"/>
                <w:shd w:val="clear" w:fill="FFFFFF"/>
                <w:vertAlign w:val="baseline"/>
                <w:lang w:val="en-US" w:eastAsia="zh-CN"/>
              </w:rPr>
              <w:t>13</w:t>
            </w:r>
          </w:p>
        </w:tc>
        <w:tc>
          <w:tcPr>
            <w:tcW w:w="11815" w:type="dxa"/>
            <w:vAlign w:val="center"/>
          </w:tcPr>
          <w:p w14:paraId="59D5E86D">
            <w:pPr>
              <w:spacing w:line="240" w:lineRule="auto"/>
              <w:jc w:val="left"/>
              <w:rPr>
                <w:rFonts w:hint="eastAsia" w:ascii="Times New Roman" w:hAnsi="Times New Roman" w:eastAsia="仿宋" w:cs="Times New Roman"/>
                <w:b w:val="0"/>
                <w:bCs w:val="0"/>
                <w:sz w:val="20"/>
                <w:szCs w:val="20"/>
                <w:vertAlign w:val="baseline"/>
                <w:lang w:val="en-US" w:eastAsia="zh-CN"/>
              </w:rPr>
            </w:pPr>
            <w:r>
              <w:rPr>
                <w:rFonts w:hint="eastAsia" w:ascii="Times New Roman" w:hAnsi="Times New Roman" w:eastAsia="仿宋" w:cs="Times New Roman"/>
                <w:b w:val="0"/>
                <w:bCs w:val="0"/>
                <w:sz w:val="21"/>
                <w:szCs w:val="21"/>
                <w:vertAlign w:val="baseline"/>
                <w:lang w:val="en-US" w:eastAsia="zh-CN"/>
              </w:rPr>
              <w:t>中医专科护士主导的MDT模式在干预高脂血症型胰腺炎临床结局中的应用研究</w:t>
            </w:r>
          </w:p>
        </w:tc>
      </w:tr>
    </w:tbl>
    <w:p w14:paraId="682961F2">
      <w:pPr>
        <w:rPr>
          <w:rFonts w:hint="default" w:ascii="sans-serif" w:hAnsi="sans-serif" w:cs="sans-serif"/>
          <w:i w:val="0"/>
          <w:iCs w:val="0"/>
          <w:caps w:val="0"/>
          <w:color w:val="333333"/>
          <w:spacing w:val="0"/>
          <w:sz w:val="20"/>
          <w:szCs w:val="20"/>
          <w:shd w:val="clear" w:fill="FFFFFF"/>
          <w:lang w:val="en-US" w:eastAsia="zh-CN"/>
        </w:rPr>
      </w:pPr>
    </w:p>
    <w:p w14:paraId="0F969A30">
      <w:pPr>
        <w:rPr>
          <w:rFonts w:hint="default" w:ascii="sans-serif" w:hAnsi="sans-serif" w:cs="sans-serif"/>
          <w:i w:val="0"/>
          <w:iCs w:val="0"/>
          <w:caps w:val="0"/>
          <w:color w:val="333333"/>
          <w:spacing w:val="0"/>
          <w:sz w:val="20"/>
          <w:szCs w:val="20"/>
          <w:shd w:val="clear" w:fill="FFFFFF"/>
          <w:lang w:val="en-US" w:eastAsia="zh-CN"/>
        </w:rPr>
      </w:pPr>
    </w:p>
    <w:p w14:paraId="6246682A">
      <w:pPr>
        <w:rPr>
          <w:rFonts w:hint="default" w:ascii="sans-serif" w:hAnsi="sans-serif" w:cs="sans-serif"/>
          <w:i w:val="0"/>
          <w:iCs w:val="0"/>
          <w:caps w:val="0"/>
          <w:color w:val="333333"/>
          <w:spacing w:val="0"/>
          <w:sz w:val="20"/>
          <w:szCs w:val="20"/>
          <w:shd w:val="clear" w:fill="FFFFFF"/>
          <w:lang w:val="en-US" w:eastAsia="zh-CN"/>
        </w:rPr>
      </w:pPr>
    </w:p>
    <w:p w14:paraId="70155A79">
      <w:pPr>
        <w:rPr>
          <w:rFonts w:hint="default" w:ascii="sans-serif" w:hAnsi="sans-serif" w:cs="sans-serif"/>
          <w:i w:val="0"/>
          <w:iCs w:val="0"/>
          <w:caps w:val="0"/>
          <w:color w:val="333333"/>
          <w:spacing w:val="0"/>
          <w:sz w:val="20"/>
          <w:szCs w:val="20"/>
          <w:shd w:val="clear" w:fill="FFFFFF"/>
          <w:lang w:val="en-US" w:eastAsia="zh-CN"/>
        </w:rPr>
      </w:pPr>
    </w:p>
    <w:p w14:paraId="498876E2">
      <w:pPr>
        <w:rPr>
          <w:rFonts w:hint="eastAsia" w:ascii="sans-serif" w:hAnsi="sans-serif" w:cs="sans-serif"/>
          <w:i w:val="0"/>
          <w:iCs w:val="0"/>
          <w:caps w:val="0"/>
          <w:color w:val="333333"/>
          <w:spacing w:val="0"/>
          <w:sz w:val="20"/>
          <w:szCs w:val="20"/>
          <w:shd w:val="clear" w:fill="FFFFFF"/>
          <w:lang w:val="en-US" w:eastAsia="zh-CN"/>
        </w:rPr>
      </w:pPr>
    </w:p>
    <w:p w14:paraId="4850EE69">
      <w:pPr>
        <w:rPr>
          <w:rFonts w:hint="eastAsia" w:ascii="sans-serif" w:hAnsi="sans-serif" w:cs="sans-serif"/>
          <w:i w:val="0"/>
          <w:iCs w:val="0"/>
          <w:caps w:val="0"/>
          <w:color w:val="333333"/>
          <w:spacing w:val="0"/>
          <w:sz w:val="20"/>
          <w:szCs w:val="20"/>
          <w:shd w:val="clear" w:fill="FFFFFF"/>
          <w:lang w:val="en-US" w:eastAsia="zh-CN"/>
        </w:rPr>
      </w:pPr>
    </w:p>
    <w:p w14:paraId="282124BD">
      <w:pPr>
        <w:rPr>
          <w:rFonts w:hint="eastAsia" w:ascii="sans-serif" w:hAnsi="sans-serif" w:cs="sans-serif"/>
          <w:i w:val="0"/>
          <w:iCs w:val="0"/>
          <w:caps w:val="0"/>
          <w:color w:val="333333"/>
          <w:spacing w:val="0"/>
          <w:sz w:val="20"/>
          <w:szCs w:val="20"/>
          <w:shd w:val="clear" w:fill="FFFFFF"/>
          <w:lang w:val="en-US" w:eastAsia="zh-CN"/>
        </w:rPr>
      </w:pPr>
    </w:p>
    <w:p w14:paraId="0816125A">
      <w:pPr>
        <w:rPr>
          <w:rFonts w:hint="eastAsia" w:ascii="sans-serif" w:hAnsi="sans-serif" w:cs="sans-serif"/>
          <w:i w:val="0"/>
          <w:iCs w:val="0"/>
          <w:caps w:val="0"/>
          <w:color w:val="333333"/>
          <w:spacing w:val="0"/>
          <w:sz w:val="20"/>
          <w:szCs w:val="20"/>
          <w:shd w:val="clear" w:fill="FFFFFF"/>
          <w:lang w:val="en-US" w:eastAsia="zh-CN"/>
        </w:rPr>
      </w:pPr>
    </w:p>
    <w:p w14:paraId="6BAFA325">
      <w:pPr>
        <w:rPr>
          <w:rFonts w:hint="eastAsia" w:ascii="sans-serif" w:hAnsi="sans-serif" w:cs="sans-serif"/>
          <w:i w:val="0"/>
          <w:iCs w:val="0"/>
          <w:caps w:val="0"/>
          <w:color w:val="333333"/>
          <w:spacing w:val="0"/>
          <w:sz w:val="20"/>
          <w:szCs w:val="20"/>
          <w:shd w:val="clear" w:fill="FFFFFF"/>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140D2A"/>
    <w:rsid w:val="208B7D31"/>
    <w:rsid w:val="2D7F444D"/>
    <w:rsid w:val="31A9266A"/>
    <w:rsid w:val="71CA3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930</Words>
  <Characters>1029</Characters>
  <Lines>0</Lines>
  <Paragraphs>0</Paragraphs>
  <TotalTime>0</TotalTime>
  <ScaleCrop>false</ScaleCrop>
  <LinksUpToDate>false</LinksUpToDate>
  <CharactersWithSpaces>1030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2025-01-10T08:45:00Z</dcterms:created>
  <dc:creator>Administrator</dc:creator>
  <cp:lastModifiedBy>封亮</cp:lastModifiedBy>
  <dcterms:modified xsi:type="dcterms:W3CDTF">2025-01-13T02:37:08Z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eyJoZGlkIjoiMTgwNjMyZGE3OWRlZmM3ZWU5MGIwZjA5MmFiNDljNzMiLCJ1c2VySWQiOiI2NTU0MTkzMzQifQ==</vt:lpwstr>
  </property>
  <property fmtid="{D5CDD505-2E9C-101B-9397-08002B2CF9AE}" pid="4" name="ICV">
    <vt:lpwstr>82B8E82D043A4338984D9FD45054F406_13</vt:lpwstr>
  </property>
</Properties>
</file>